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828"/>
      </w:tblGrid>
      <w:tr>
        <w:tc>
          <w:tcPr>
            <w:tcW w:w="9828" w:type="dxa"/>
            <w:shd w:val="clear" w:color="auto" w:fill="F2F2F2"/>
          </w:tcPr>
          <w:p>
            <w:pPr>
              <w:jc w:val="center"/>
              <w:rPr>
                <w:b/>
                <w:sz w:val="22"/>
                <w:szCs w:val="22"/>
              </w:rPr>
            </w:pPr>
            <w:r>
              <w:rPr>
                <w:b/>
                <w:sz w:val="22"/>
                <w:szCs w:val="22"/>
              </w:rPr>
              <w:t>Стандард 1. Структура студијског програма</w:t>
            </w:r>
          </w:p>
          <w:p>
            <w:pPr>
              <w:jc w:val="both"/>
              <w:rPr>
                <w:sz w:val="22"/>
                <w:szCs w:val="22"/>
              </w:rPr>
            </w:pPr>
            <w:r>
              <w:rPr>
                <w:sz w:val="22"/>
                <w:szCs w:val="22"/>
                <w:lang w:val="sr-Cyrl-CS"/>
              </w:rPr>
              <w:t>Студијски програм садржи елементе утврђене законом</w:t>
            </w:r>
            <w:r>
              <w:rPr>
                <w:sz w:val="22"/>
                <w:szCs w:val="22"/>
              </w:rPr>
              <w:t xml:space="preserve"> </w:t>
            </w:r>
            <w:r>
              <w:rPr>
                <w:sz w:val="22"/>
                <w:szCs w:val="22"/>
                <w:lang w:val="sr-Cyrl-RS"/>
              </w:rPr>
              <w:t>(</w:t>
            </w:r>
            <w:r>
              <w:rPr>
                <w:sz w:val="22"/>
                <w:szCs w:val="22"/>
              </w:rPr>
              <w:t>који се детаљно исказују у одговарајућим стандардима)</w:t>
            </w:r>
          </w:p>
        </w:tc>
      </w:tr>
      <w:tr>
        <w:tc>
          <w:tcPr>
            <w:tcW w:w="9828" w:type="dxa"/>
          </w:tcPr>
          <w:p>
            <w:pPr>
              <w:rPr>
                <w:sz w:val="22"/>
                <w:szCs w:val="22"/>
                <w:lang w:val="sr-Cyrl-CS"/>
              </w:rPr>
            </w:pPr>
            <w:r>
              <w:rPr>
                <w:b/>
                <w:sz w:val="22"/>
                <w:szCs w:val="22"/>
                <w:lang w:val="sr-Cyrl-CS"/>
              </w:rPr>
              <w:t xml:space="preserve">Опис </w:t>
            </w:r>
            <w:r>
              <w:rPr>
                <w:sz w:val="22"/>
                <w:szCs w:val="22"/>
                <w:lang w:val="sr-Cyrl-CS"/>
              </w:rPr>
              <w:t>структуре и садржаја студијског програма са методама извођења наставе</w:t>
            </w:r>
            <w:r>
              <w:rPr>
                <w:b/>
                <w:sz w:val="22"/>
                <w:szCs w:val="22"/>
                <w:lang w:val="sr-Cyrl-CS"/>
              </w:rPr>
              <w:t xml:space="preserve"> </w:t>
            </w:r>
            <w:r>
              <w:rPr>
                <w:sz w:val="22"/>
                <w:szCs w:val="22"/>
                <w:lang w:val="sr-Cyrl-CS"/>
              </w:rPr>
              <w:t>(</w:t>
            </w:r>
            <w:r>
              <w:rPr>
                <w:sz w:val="22"/>
                <w:szCs w:val="22"/>
              </w:rPr>
              <w:t>највише 500</w:t>
            </w:r>
            <w:r>
              <w:rPr>
                <w:sz w:val="22"/>
                <w:szCs w:val="22"/>
                <w:lang w:val="sr-Cyrl-CS"/>
              </w:rPr>
              <w:t xml:space="preserve"> </w:t>
            </w:r>
            <w:r>
              <w:rPr>
                <w:sz w:val="22"/>
                <w:szCs w:val="22"/>
              </w:rPr>
              <w:t>речи</w:t>
            </w:r>
            <w:r>
              <w:rPr>
                <w:sz w:val="22"/>
                <w:szCs w:val="22"/>
                <w:lang w:val="sr-Cyrl-CS"/>
              </w:rPr>
              <w:t>)</w:t>
            </w:r>
          </w:p>
          <w:p>
            <w:pPr>
              <w:ind w:left="720"/>
              <w:jc w:val="both"/>
              <w:rPr>
                <w:sz w:val="22"/>
                <w:szCs w:val="22"/>
                <w:lang w:val="sr-Cyrl-CS"/>
              </w:rPr>
            </w:pPr>
            <w:r>
              <w:rPr>
                <w:sz w:val="22"/>
                <w:szCs w:val="22"/>
                <w:lang w:val="sr-Cyrl-CS"/>
              </w:rPr>
              <w:t>Четворогодишњи студијски програм Основних академских студија социологије конципиран је с обзиром на  комплексност социологије као теоријско-емпиријске и примењене дисциплине и потребу да се друштво у коме живимо разуме, феномени у њему објасне и унапреди његово функционисање. Имајући у виду послове које би студенти и студенткиње по завршетку студија могли да обављају, реализација студијског програма треба да им омогући да на основном нивоу стекну социолошку експертизу (овладају „социолошким занатом“), тачније, да их оспособи да решавају практичне проблеме са којима ће се сретати на радном месту.</w:t>
            </w:r>
          </w:p>
          <w:p>
            <w:pPr>
              <w:ind w:left="720"/>
              <w:jc w:val="both"/>
              <w:rPr>
                <w:bCs/>
                <w:sz w:val="22"/>
                <w:szCs w:val="22"/>
              </w:rPr>
            </w:pPr>
            <w:r>
              <w:rPr>
                <w:bCs/>
                <w:sz w:val="22"/>
                <w:szCs w:val="22"/>
              </w:rPr>
              <w:t>На Основне академске студије социологије имају право да конкуришу за упис сви појединци који су завршили средње школе у четворогодишњем трајању.</w:t>
            </w:r>
          </w:p>
          <w:p>
            <w:pPr>
              <w:ind w:left="720"/>
              <w:jc w:val="both"/>
              <w:rPr>
                <w:bCs/>
                <w:sz w:val="22"/>
                <w:szCs w:val="22"/>
                <w:lang w:val="sr-Cyrl-RS"/>
              </w:rPr>
            </w:pPr>
            <w:r>
              <w:rPr>
                <w:bCs/>
                <w:sz w:val="22"/>
                <w:szCs w:val="22"/>
              </w:rPr>
              <w:t>Студијски програм Основне академске студије социологије има 46 предмета чија је укупна бодовна вредност 240 ЕСПБ бодова и то: 2 предмета –  7 ЕСПБ бодова, 17 предмета – 6 ЕСПБ бодова, 20 предмета – 5 ЕСПБ бодова, 3 предмета – 4 ЕСПБ бода, 4 предмета – 3 ЕСПБ бода. По семестрима бодовна вредност предмета износи: први семестар – 27 ЕСПБ бодова, други – 33 ЕСПБ бодa, трећи семестар 29 ЕСПБ, четврти семестар 31 ЕСПБ, а преостала 4 семестра по 30 ЕСПБ бодова. Свака година студија носи по 60 ЕСПБ бодова. Структура студијског програма за социологију садржи основне и изборне предмете. Листа обавезних и изборних предмета са оквирним садржајима за сваки предмет исказана је у Студијском програму (фактор изборности 25,83%). Студијским програмом предвиђена је листа изборних предмета са других студијских програма. Програм садржи 14.86% опште-образовних предмета, 22.08% теоријско-методолошких предмета, 31,32% научно-стручних предмета, 31,74% стручно-апликативних предмета. Студенти похађају предавања и вежбе. Предавања изводе наставници, а вежбе наставници и сарадници Филозофског факултета у Нишу. Сви предмети трају један семестар. Просечно на све четири године недељни фонд часова износи 21,12 часова. За упис појединих предмета предвиђају се посебни предуслови који су дефинисани у силабусима тих предмета. Избор предмета из других студијских програма омогућен је и одређен кроз понуду у одређеним изборним блоковима програма. Упис наредне године регулисан је Законом о високом образовању. За неке предмете предвиђени су семинарски радови и колоквијуми као предиспитне активности.</w:t>
            </w:r>
            <w:r>
              <w:rPr>
                <w:bCs/>
                <w:sz w:val="22"/>
                <w:szCs w:val="22"/>
                <w:lang w:val="sr-Cyrl-RS"/>
              </w:rPr>
              <w:t xml:space="preserve">У настави се употребљавају интерактивни облици наставног рада. </w:t>
            </w:r>
          </w:p>
          <w:p>
            <w:pPr>
              <w:ind w:left="720"/>
              <w:jc w:val="both"/>
              <w:rPr>
                <w:bCs/>
                <w:sz w:val="22"/>
                <w:szCs w:val="22"/>
              </w:rPr>
            </w:pPr>
            <w:r>
              <w:rPr>
                <w:bCs/>
                <w:sz w:val="22"/>
                <w:szCs w:val="22"/>
              </w:rPr>
              <w:t xml:space="preserve">Прелазак са других студијских програма у оквиру истих или сродних области студија је  могућ и дефинисан у складу са Законом и општим актима Универзитета и  Филозофског Факултета. </w:t>
            </w:r>
          </w:p>
          <w:p>
            <w:pPr>
              <w:ind w:left="720"/>
              <w:jc w:val="both"/>
              <w:rPr>
                <w:bCs/>
                <w:sz w:val="22"/>
                <w:szCs w:val="22"/>
              </w:rPr>
            </w:pPr>
            <w:r>
              <w:rPr>
                <w:bCs/>
                <w:sz w:val="22"/>
                <w:szCs w:val="22"/>
              </w:rPr>
              <w:t>Студенти могу током студија бирати и полагати испите из других акредитованих студијских програма који нису обухваћени овим студијским програмом, што ће бити назначено у Додатку дипломи, у делу „</w:t>
            </w:r>
            <w:r>
              <w:rPr>
                <w:bCs/>
                <w:sz w:val="22"/>
                <w:szCs w:val="22"/>
                <w:lang w:val="sr-Cyrl-RS"/>
              </w:rPr>
              <w:t>Додатне информације</w:t>
            </w:r>
            <w:bookmarkStart w:id="0" w:name="_GoBack"/>
            <w:bookmarkEnd w:id="0"/>
            <w:r>
              <w:rPr>
                <w:bCs/>
                <w:sz w:val="22"/>
                <w:szCs w:val="22"/>
              </w:rPr>
              <w:t>“.</w:t>
            </w:r>
          </w:p>
          <w:p>
            <w:pPr>
              <w:ind w:left="720"/>
              <w:jc w:val="both"/>
              <w:rPr>
                <w:bCs/>
                <w:sz w:val="22"/>
                <w:szCs w:val="22"/>
              </w:rPr>
            </w:pPr>
            <w:r>
              <w:rPr>
                <w:bCs/>
                <w:sz w:val="22"/>
                <w:szCs w:val="22"/>
              </w:rPr>
              <w:t xml:space="preserve">Након завршених студија студенти стичу стручни назив </w:t>
            </w:r>
            <w:r>
              <w:rPr>
                <w:b/>
                <w:bCs/>
                <w:sz w:val="22"/>
                <w:szCs w:val="22"/>
              </w:rPr>
              <w:t>дипломирани социолог.</w:t>
            </w:r>
          </w:p>
          <w:p>
            <w:pPr>
              <w:ind w:left="720"/>
              <w:jc w:val="both"/>
              <w:rPr>
                <w:bCs/>
                <w:sz w:val="22"/>
                <w:szCs w:val="22"/>
              </w:rPr>
            </w:pPr>
          </w:p>
        </w:tc>
      </w:tr>
      <w:tr>
        <w:trPr>
          <w:trHeight w:val="526"/>
        </w:trPr>
        <w:tc>
          <w:tcPr>
            <w:tcW w:w="9828" w:type="dxa"/>
            <w:shd w:val="clear" w:color="auto" w:fill="F2F2F2"/>
          </w:tcPr>
          <w:p>
            <w:pPr>
              <w:pBdr>
                <w:bottom w:val="single" w:sz="6" w:space="1" w:color="auto"/>
              </w:pBdr>
              <w:rPr>
                <w:sz w:val="22"/>
                <w:szCs w:val="22"/>
                <w:lang w:val="sr-Cyrl-CS"/>
              </w:rPr>
            </w:pPr>
            <w:r>
              <w:rPr>
                <w:b/>
                <w:sz w:val="22"/>
                <w:szCs w:val="22"/>
                <w:lang w:val="sr-Cyrl-CS"/>
              </w:rPr>
              <w:t>Прилози за стандард 1:</w:t>
            </w:r>
            <w:r>
              <w:rPr>
                <w:sz w:val="22"/>
                <w:szCs w:val="22"/>
                <w:lang w:val="sr-Cyrl-CS"/>
              </w:rPr>
              <w:t xml:space="preserve"> </w:t>
            </w:r>
          </w:p>
          <w:p>
            <w:pPr>
              <w:rPr>
                <w:sz w:val="22"/>
                <w:szCs w:val="22"/>
                <w:lang w:val="sr-Cyrl-CS"/>
              </w:rPr>
            </w:pPr>
            <w:r>
              <w:rPr>
                <w:b/>
                <w:sz w:val="22"/>
                <w:szCs w:val="22"/>
                <w:lang w:val="sr-Cyrl-CS"/>
              </w:rPr>
              <w:t xml:space="preserve">Прилог 1.1. </w:t>
            </w:r>
            <w:r>
              <w:rPr>
                <w:sz w:val="22"/>
                <w:szCs w:val="22"/>
                <w:lang w:val="sr-Cyrl-CS"/>
              </w:rPr>
              <w:t>Публикација установе (у штампаном или електронском облику,  сајт институције).</w:t>
            </w:r>
          </w:p>
          <w:p>
            <w:pPr>
              <w:rPr>
                <w:sz w:val="24"/>
                <w:szCs w:val="24"/>
                <w:lang w:val="sr-Cyrl-RS"/>
              </w:rPr>
            </w:pPr>
            <w:r>
              <w:rPr>
                <w:sz w:val="24"/>
                <w:szCs w:val="24"/>
                <w:lang w:val="sr-Cyrl-RS"/>
              </w:rPr>
              <w:t xml:space="preserve">Веб-сајт: </w:t>
            </w:r>
            <w:hyperlink r:id="rId8" w:history="1">
              <w:r>
                <w:rPr>
                  <w:rStyle w:val="Hyperlink"/>
                  <w:sz w:val="24"/>
                  <w:szCs w:val="24"/>
                  <w:lang w:val="sr-Cyrl-RS"/>
                </w:rPr>
                <w:t>www.filfak.ni.ac.rs</w:t>
              </w:r>
            </w:hyperlink>
          </w:p>
          <w:p>
            <w:pPr>
              <w:rPr>
                <w:sz w:val="24"/>
                <w:szCs w:val="24"/>
                <w:lang w:val="sr-Cyrl-RS"/>
              </w:rPr>
            </w:pPr>
            <w:r>
              <w:rPr>
                <w:sz w:val="24"/>
                <w:szCs w:val="24"/>
                <w:lang w:val="sr-Cyrl-RS"/>
              </w:rPr>
              <w:t xml:space="preserve">Веб-сајт на енглеском језику: </w:t>
            </w:r>
            <w:hyperlink r:id="rId9" w:history="1">
              <w:r>
                <w:rPr>
                  <w:rStyle w:val="Hyperlink"/>
                  <w:sz w:val="24"/>
                  <w:szCs w:val="24"/>
                  <w:lang w:val="sr-Cyrl-RS"/>
                </w:rPr>
                <w:t>https://intl.filfak.ni.ac.rs/en</w:t>
              </w:r>
            </w:hyperlink>
          </w:p>
          <w:p>
            <w:pPr>
              <w:rPr>
                <w:sz w:val="24"/>
                <w:szCs w:val="24"/>
                <w:lang w:val="sr-Cyrl-RS"/>
              </w:rPr>
            </w:pPr>
            <w:r>
              <w:rPr>
                <w:sz w:val="24"/>
                <w:szCs w:val="24"/>
                <w:lang w:val="sr-Cyrl-RS"/>
              </w:rPr>
              <w:t xml:space="preserve">Блог: </w:t>
            </w:r>
            <w:hyperlink r:id="rId10" w:history="1">
              <w:r>
                <w:rPr>
                  <w:rStyle w:val="Hyperlink"/>
                  <w:sz w:val="24"/>
                  <w:szCs w:val="24"/>
                  <w:lang w:val="sr-Cyrl-RS"/>
                </w:rPr>
                <w:t>https://blog.filfak.ni.ac.rs/</w:t>
              </w:r>
            </w:hyperlink>
          </w:p>
          <w:p>
            <w:pPr>
              <w:rPr>
                <w:sz w:val="24"/>
                <w:szCs w:val="24"/>
                <w:lang w:val="sr-Cyrl-RS"/>
              </w:rPr>
            </w:pPr>
            <w:r>
              <w:rPr>
                <w:sz w:val="24"/>
                <w:szCs w:val="24"/>
                <w:lang w:val="sr-Cyrl-RS"/>
              </w:rPr>
              <w:t xml:space="preserve">Портал за упис: </w:t>
            </w:r>
            <w:hyperlink r:id="rId11" w:history="1">
              <w:r>
                <w:rPr>
                  <w:rStyle w:val="Hyperlink"/>
                  <w:sz w:val="24"/>
                  <w:szCs w:val="24"/>
                  <w:lang w:val="sr-Cyrl-RS"/>
                </w:rPr>
                <w:t>https://upis.filfak.ni.ac.rs/</w:t>
              </w:r>
            </w:hyperlink>
          </w:p>
          <w:p>
            <w:pPr>
              <w:rPr>
                <w:sz w:val="24"/>
                <w:szCs w:val="24"/>
                <w:lang w:val="sr-Cyrl-RS"/>
              </w:rPr>
            </w:pPr>
            <w:r>
              <w:rPr>
                <w:sz w:val="24"/>
                <w:szCs w:val="24"/>
                <w:lang w:val="sr-Cyrl-RS"/>
              </w:rPr>
              <w:t xml:space="preserve">Портал за студенте: </w:t>
            </w:r>
            <w:hyperlink r:id="rId12" w:history="1">
              <w:r>
                <w:rPr>
                  <w:rStyle w:val="Hyperlink"/>
                  <w:sz w:val="24"/>
                  <w:szCs w:val="24"/>
                  <w:lang w:val="sr-Cyrl-RS"/>
                </w:rPr>
                <w:t>http://studenti.filfak.ni.ac.rs/</w:t>
              </w:r>
            </w:hyperlink>
          </w:p>
          <w:p>
            <w:pPr>
              <w:rPr>
                <w:sz w:val="22"/>
                <w:szCs w:val="22"/>
                <w:lang w:val="sr-Cyrl-CS"/>
              </w:rPr>
            </w:pPr>
            <w:r>
              <w:rPr>
                <w:sz w:val="24"/>
                <w:szCs w:val="24"/>
                <w:lang w:val="sr-Cyrl-RS"/>
              </w:rPr>
              <w:t xml:space="preserve">Издања Факултета: </w:t>
            </w:r>
            <w:hyperlink r:id="rId13" w:history="1">
              <w:r>
                <w:rPr>
                  <w:rStyle w:val="Hyperlink"/>
                  <w:sz w:val="24"/>
                  <w:szCs w:val="24"/>
                  <w:lang w:val="sr-Cyrl-RS"/>
                </w:rPr>
                <w:t>https://izdanja.filfak.ni.ac.rs/</w:t>
              </w:r>
            </w:hyperlink>
          </w:p>
        </w:tc>
      </w:tr>
    </w:tbl>
    <w:p/>
    <w:sectPr>
      <w:headerReference w:type="default" r:id="rId14"/>
      <w:footerReference w:type="default" r:id="rId15"/>
      <w:pgSz w:w="11907" w:h="16840" w:code="9"/>
      <w:pgMar w:top="2269" w:right="851" w:bottom="851" w:left="1418" w:header="113"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jc w:val="center"/>
      <w:rPr>
        <w:lang w:val="sr-Cyrl-RS"/>
      </w:rPr>
    </w:pPr>
    <w:r>
      <w:t>www.filfak.ni.ac.rs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r>
      <w:t xml:space="preserve">         </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6357"/>
      <w:gridCol w:w="1668"/>
    </w:tblGrid>
    <w:tr>
      <w:trPr>
        <w:trHeight w:val="367"/>
        <w:jc w:val="center"/>
      </w:trPr>
      <w:tc>
        <w:tcPr>
          <w:tcW w:w="1515" w:type="dxa"/>
          <w:vMerge w:val="restart"/>
          <w:vAlign w:val="center"/>
        </w:tcPr>
        <w:p>
          <w:pPr>
            <w:pStyle w:val="Header"/>
            <w:jc w:val="center"/>
          </w:pPr>
          <w:r>
            <w:rPr>
              <w:noProof/>
              <w:lang w:val="sr-Latn-RS" w:eastAsia="sr-Latn-RS"/>
            </w:rPr>
            <w:drawing>
              <wp:inline distT="0" distB="0" distL="0" distR="0">
                <wp:extent cx="899795" cy="899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899795"/>
                        </a:xfrm>
                        <a:prstGeom prst="rect">
                          <a:avLst/>
                        </a:prstGeom>
                        <a:noFill/>
                        <a:ln>
                          <a:noFill/>
                        </a:ln>
                      </pic:spPr>
                    </pic:pic>
                  </a:graphicData>
                </a:graphic>
              </wp:inline>
            </w:drawing>
          </w:r>
        </w:p>
      </w:tc>
      <w:tc>
        <w:tcPr>
          <w:tcW w:w="6533" w:type="dxa"/>
          <w:shd w:val="clear" w:color="auto" w:fill="FFFFFF"/>
          <w:vAlign w:val="center"/>
        </w:tcPr>
        <w:p>
          <w:pPr>
            <w:pStyle w:val="Header"/>
            <w:jc w:val="center"/>
            <w:rPr>
              <w:b/>
              <w:color w:val="333399"/>
              <w:sz w:val="24"/>
              <w:szCs w:val="24"/>
            </w:rPr>
          </w:pPr>
          <w:r>
            <w:rPr>
              <w:b/>
              <w:color w:val="333399"/>
              <w:sz w:val="24"/>
              <w:szCs w:val="24"/>
              <w:lang w:val="sr-Cyrl-CS"/>
            </w:rPr>
            <w:t>Универзитет у Нишу</w:t>
          </w:r>
        </w:p>
        <w:p>
          <w:pPr>
            <w:pStyle w:val="Header"/>
            <w:jc w:val="center"/>
            <w:rPr>
              <w:color w:val="333399"/>
              <w:sz w:val="24"/>
              <w:szCs w:val="24"/>
            </w:rPr>
          </w:pPr>
          <w:r>
            <w:rPr>
              <w:b/>
              <w:color w:val="333399"/>
              <w:sz w:val="24"/>
              <w:szCs w:val="24"/>
              <w:lang w:val="sr-Cyrl-CS"/>
            </w:rPr>
            <w:t>Филозофски факултет</w:t>
          </w:r>
        </w:p>
      </w:tc>
      <w:tc>
        <w:tcPr>
          <w:tcW w:w="1610" w:type="dxa"/>
          <w:vMerge w:val="restart"/>
          <w:vAlign w:val="center"/>
        </w:tcPr>
        <w:p>
          <w:pPr>
            <w:pStyle w:val="Header"/>
            <w:jc w:val="center"/>
          </w:pPr>
          <w:r>
            <w:rPr>
              <w:noProof/>
              <w:lang w:val="sr-Latn-RS" w:eastAsia="sr-Latn-RS"/>
            </w:rPr>
            <w:drawing>
              <wp:inline distT="0" distB="0" distL="0" distR="0">
                <wp:extent cx="922020" cy="922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020" cy="922020"/>
                        </a:xfrm>
                        <a:prstGeom prst="rect">
                          <a:avLst/>
                        </a:prstGeom>
                        <a:noFill/>
                        <a:ln>
                          <a:noFill/>
                        </a:ln>
                      </pic:spPr>
                    </pic:pic>
                  </a:graphicData>
                </a:graphic>
              </wp:inline>
            </w:drawing>
          </w:r>
        </w:p>
      </w:tc>
    </w:tr>
    <w:tr>
      <w:trPr>
        <w:trHeight w:val="467"/>
        <w:jc w:val="center"/>
      </w:trPr>
      <w:tc>
        <w:tcPr>
          <w:tcW w:w="1515" w:type="dxa"/>
          <w:vMerge/>
        </w:tcPr>
        <w:p>
          <w:pPr>
            <w:pStyle w:val="Header"/>
          </w:pPr>
        </w:p>
      </w:tc>
      <w:tc>
        <w:tcPr>
          <w:tcW w:w="6533" w:type="dxa"/>
          <w:shd w:val="clear" w:color="auto" w:fill="E6E6E6"/>
          <w:vAlign w:val="center"/>
        </w:tcPr>
        <w:p>
          <w:pPr>
            <w:pStyle w:val="Header"/>
            <w:jc w:val="center"/>
            <w:rPr>
              <w:b/>
              <w:color w:val="333399"/>
              <w:sz w:val="24"/>
              <w:szCs w:val="24"/>
              <w:lang w:val="sr-Cyrl-RS"/>
            </w:rPr>
          </w:pPr>
          <w:r>
            <w:rPr>
              <w:b/>
              <w:color w:val="333399"/>
              <w:sz w:val="24"/>
              <w:szCs w:val="24"/>
              <w:lang w:val="sr-Cyrl-CS"/>
            </w:rPr>
            <w:t>Акредитација</w:t>
          </w:r>
          <w:r>
            <w:rPr>
              <w:b/>
              <w:color w:val="333399"/>
              <w:sz w:val="24"/>
              <w:szCs w:val="24"/>
              <w:lang w:val="en-US"/>
            </w:rPr>
            <w:t xml:space="preserve"> </w:t>
          </w:r>
          <w:r>
            <w:rPr>
              <w:b/>
              <w:color w:val="333399"/>
              <w:sz w:val="24"/>
              <w:szCs w:val="24"/>
              <w:lang w:val="sr-Cyrl-RS"/>
            </w:rPr>
            <w:t>студијског програма</w:t>
          </w:r>
        </w:p>
      </w:tc>
      <w:tc>
        <w:tcPr>
          <w:tcW w:w="1610" w:type="dxa"/>
          <w:vMerge/>
        </w:tcPr>
        <w:p>
          <w:pPr>
            <w:pStyle w:val="Header"/>
            <w:jc w:val="right"/>
            <w:rPr>
              <w:lang w:val="sr-Cyrl-CS"/>
            </w:rPr>
          </w:pPr>
        </w:p>
      </w:tc>
    </w:tr>
    <w:tr>
      <w:trPr>
        <w:trHeight w:val="449"/>
        <w:jc w:val="center"/>
      </w:trPr>
      <w:tc>
        <w:tcPr>
          <w:tcW w:w="1515" w:type="dxa"/>
          <w:vMerge/>
        </w:tcPr>
        <w:p>
          <w:pPr>
            <w:pStyle w:val="Header"/>
          </w:pPr>
        </w:p>
      </w:tc>
      <w:tc>
        <w:tcPr>
          <w:tcW w:w="6533" w:type="dxa"/>
          <w:shd w:val="clear" w:color="auto" w:fill="FFFFFF"/>
          <w:vAlign w:val="center"/>
        </w:tcPr>
        <w:p>
          <w:pPr>
            <w:pStyle w:val="Header"/>
            <w:jc w:val="center"/>
            <w:rPr>
              <w:b/>
              <w:color w:val="333399"/>
              <w:sz w:val="24"/>
              <w:szCs w:val="24"/>
              <w:lang w:val="ru-RU"/>
            </w:rPr>
          </w:pPr>
          <w:r>
            <w:rPr>
              <w:b/>
              <w:color w:val="333399"/>
              <w:sz w:val="24"/>
              <w:szCs w:val="24"/>
              <w:lang w:val="sr-Cyrl-RS"/>
            </w:rPr>
            <w:t>Основне академске студије социологије</w:t>
          </w:r>
        </w:p>
      </w:tc>
      <w:tc>
        <w:tcPr>
          <w:tcW w:w="1610" w:type="dxa"/>
          <w:vMerge/>
        </w:tcPr>
        <w:p>
          <w:pPr>
            <w:pStyle w:val="Header"/>
            <w:jc w:val="right"/>
            <w:rPr>
              <w:lang w:val="sr-Cyrl-CS"/>
            </w:rPr>
          </w:pPr>
        </w:p>
      </w:tc>
    </w:tr>
  </w:tbl>
  <w:p>
    <w:pPr>
      <w:pStyle w:val="Header"/>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D7F"/>
    <w:multiLevelType w:val="hybridMultilevel"/>
    <w:tmpl w:val="8BCA46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0213EFA"/>
    <w:multiLevelType w:val="hybridMultilevel"/>
    <w:tmpl w:val="47D89A34"/>
    <w:lvl w:ilvl="0" w:tplc="F92C938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2E8557D"/>
    <w:multiLevelType w:val="hybridMultilevel"/>
    <w:tmpl w:val="EC5E77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2754DE3"/>
    <w:multiLevelType w:val="hybridMultilevel"/>
    <w:tmpl w:val="7F4AA48C"/>
    <w:lvl w:ilvl="0" w:tplc="1D6073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C504F70"/>
    <w:multiLevelType w:val="hybridMultilevel"/>
    <w:tmpl w:val="2CE6DF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lang w:val="sr-Latn-CS" w:eastAsia="sr-Latn-CS"/>
    </w:rPr>
  </w:style>
  <w:style w:type="paragraph" w:styleId="Heading1">
    <w:name w:val="heading 1"/>
    <w:basedOn w:val="Normal"/>
    <w:next w:val="Normal"/>
    <w:qFormat/>
    <w:pPr>
      <w:keepNext/>
      <w:outlineLvl w:val="0"/>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styleId="BodyText2">
    <w:name w:val="Body Text 2"/>
    <w:basedOn w:val="Normal"/>
    <w:pPr>
      <w:widowControl/>
      <w:autoSpaceDE/>
      <w:autoSpaceDN/>
      <w:adjustRightInd/>
      <w:jc w:val="both"/>
    </w:pPr>
    <w:rPr>
      <w:sz w:val="24"/>
      <w:szCs w:val="24"/>
      <w:lang w:eastAsia="en-US"/>
    </w:rPr>
  </w:style>
  <w:style w:type="paragraph" w:styleId="BodyText">
    <w:name w:val="Body Text"/>
    <w:basedOn w:val="Normal"/>
    <w:rPr>
      <w:sz w:val="24"/>
      <w:lang w:val="sr-Cyrl-CS"/>
    </w:rPr>
  </w:style>
  <w:style w:type="character" w:styleId="FollowedHyperlink">
    <w:name w:val="FollowedHyperlink"/>
    <w:rPr>
      <w:color w:val="800080"/>
      <w:u w:val="single"/>
    </w:rPr>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lang w:val="sr-Latn-CS" w:eastAsia="sr-Latn-CS"/>
    </w:rPr>
  </w:style>
  <w:style w:type="paragraph" w:styleId="Heading1">
    <w:name w:val="heading 1"/>
    <w:basedOn w:val="Normal"/>
    <w:next w:val="Normal"/>
    <w:qFormat/>
    <w:pPr>
      <w:keepNext/>
      <w:outlineLvl w:val="0"/>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styleId="BodyText2">
    <w:name w:val="Body Text 2"/>
    <w:basedOn w:val="Normal"/>
    <w:pPr>
      <w:widowControl/>
      <w:autoSpaceDE/>
      <w:autoSpaceDN/>
      <w:adjustRightInd/>
      <w:jc w:val="both"/>
    </w:pPr>
    <w:rPr>
      <w:sz w:val="24"/>
      <w:szCs w:val="24"/>
      <w:lang w:eastAsia="en-US"/>
    </w:rPr>
  </w:style>
  <w:style w:type="paragraph" w:styleId="BodyText">
    <w:name w:val="Body Text"/>
    <w:basedOn w:val="Normal"/>
    <w:rPr>
      <w:sz w:val="24"/>
      <w:lang w:val="sr-Cyrl-CS"/>
    </w:rPr>
  </w:style>
  <w:style w:type="character" w:styleId="FollowedHyperlink">
    <w:name w:val="FollowedHyperlink"/>
    <w:rPr>
      <w:color w:val="800080"/>
      <w:u w:val="single"/>
    </w:rPr>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1796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lfak.ni.ac.rs" TargetMode="External"/><Relationship Id="rId13" Type="http://schemas.openxmlformats.org/officeDocument/2006/relationships/hyperlink" Target="https://izdanja.filfak.ni.ac.r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udenti.filfak.ni.ac.r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pis.filfak.ni.ac.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log.filfak.ni.ac.rs/" TargetMode="External"/><Relationship Id="rId4" Type="http://schemas.openxmlformats.org/officeDocument/2006/relationships/settings" Target="settings.xml"/><Relationship Id="rId9" Type="http://schemas.openxmlformats.org/officeDocument/2006/relationships/hyperlink" Target="https://intl.filfak.ni.ac.rs/e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Links>
    <vt:vector size="36" baseType="variant">
      <vt:variant>
        <vt:i4>5505106</vt:i4>
      </vt:variant>
      <vt:variant>
        <vt:i4>15</vt:i4>
      </vt:variant>
      <vt:variant>
        <vt:i4>0</vt:i4>
      </vt:variant>
      <vt:variant>
        <vt:i4>5</vt:i4>
      </vt:variant>
      <vt:variant>
        <vt:lpwstr>https://izdanja.filfak.ni.ac.rs/</vt:lpwstr>
      </vt:variant>
      <vt:variant>
        <vt:lpwstr/>
      </vt:variant>
      <vt:variant>
        <vt:i4>524302</vt:i4>
      </vt:variant>
      <vt:variant>
        <vt:i4>12</vt:i4>
      </vt:variant>
      <vt:variant>
        <vt:i4>0</vt:i4>
      </vt:variant>
      <vt:variant>
        <vt:i4>5</vt:i4>
      </vt:variant>
      <vt:variant>
        <vt:lpwstr>http://studenti.filfak.ni.ac.rs/</vt:lpwstr>
      </vt:variant>
      <vt:variant>
        <vt:lpwstr/>
      </vt:variant>
      <vt:variant>
        <vt:i4>131143</vt:i4>
      </vt:variant>
      <vt:variant>
        <vt:i4>9</vt:i4>
      </vt:variant>
      <vt:variant>
        <vt:i4>0</vt:i4>
      </vt:variant>
      <vt:variant>
        <vt:i4>5</vt:i4>
      </vt:variant>
      <vt:variant>
        <vt:lpwstr>https://upis.filfak.ni.ac.rs/</vt:lpwstr>
      </vt:variant>
      <vt:variant>
        <vt:lpwstr/>
      </vt:variant>
      <vt:variant>
        <vt:i4>655446</vt:i4>
      </vt:variant>
      <vt:variant>
        <vt:i4>6</vt:i4>
      </vt:variant>
      <vt:variant>
        <vt:i4>0</vt:i4>
      </vt:variant>
      <vt:variant>
        <vt:i4>5</vt:i4>
      </vt:variant>
      <vt:variant>
        <vt:lpwstr>https://blog.filfak.ni.ac.rs/</vt:lpwstr>
      </vt:variant>
      <vt:variant>
        <vt:lpwstr/>
      </vt:variant>
      <vt:variant>
        <vt:i4>6684777</vt:i4>
      </vt:variant>
      <vt:variant>
        <vt:i4>3</vt:i4>
      </vt:variant>
      <vt:variant>
        <vt:i4>0</vt:i4>
      </vt:variant>
      <vt:variant>
        <vt:i4>5</vt:i4>
      </vt:variant>
      <vt:variant>
        <vt:lpwstr>https://intl.filfak.ni.ac.rs/en</vt:lpwstr>
      </vt:variant>
      <vt:variant>
        <vt:lpwstr/>
      </vt:variant>
      <vt:variant>
        <vt:i4>3866725</vt:i4>
      </vt:variant>
      <vt:variant>
        <vt:i4>0</vt:i4>
      </vt:variant>
      <vt:variant>
        <vt:i4>0</vt:i4>
      </vt:variant>
      <vt:variant>
        <vt:i4>5</vt:i4>
      </vt:variant>
      <vt:variant>
        <vt:lpwstr>http://www.filfak.ni.ac.rs/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Trenčić</dc:creator>
  <cp:keywords/>
  <cp:lastModifiedBy>Miloš Jovanović</cp:lastModifiedBy>
  <cp:revision>7</cp:revision>
  <cp:lastPrinted>2008-06-10T11:57:00Z</cp:lastPrinted>
  <dcterms:created xsi:type="dcterms:W3CDTF">2026-06-13T21:30:00Z</dcterms:created>
  <dcterms:modified xsi:type="dcterms:W3CDTF">2026-06-26T11:34:00Z</dcterms:modified>
</cp:coreProperties>
</file>